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ABD7" w14:textId="168F8953" w:rsidR="008052BA" w:rsidRDefault="008052BA">
      <w:pPr>
        <w:rPr>
          <w:rFonts w:ascii="Arial" w:hAnsi="Arial" w:cs="Arial"/>
          <w:b/>
          <w:bCs/>
          <w:sz w:val="28"/>
          <w:szCs w:val="28"/>
        </w:rPr>
      </w:pPr>
      <w:r>
        <w:rPr>
          <w:rFonts w:ascii="Arial" w:hAnsi="Arial" w:cs="Arial"/>
          <w:b/>
          <w:bCs/>
          <w:sz w:val="28"/>
          <w:szCs w:val="28"/>
        </w:rPr>
        <w:t>QA. READ THE FOLLOWING PASSAGE CAREFULLY AND ANSWER THE FOLLOWING QUESTIONS GIVEN BELOW –</w:t>
      </w:r>
    </w:p>
    <w:p w14:paraId="11FC2A5C" w14:textId="4C97D473" w:rsidR="008052BA" w:rsidRDefault="008052BA">
      <w:pPr>
        <w:rPr>
          <w:rFonts w:ascii="Arial" w:hAnsi="Arial" w:cs="Arial"/>
          <w:sz w:val="28"/>
          <w:szCs w:val="28"/>
        </w:rPr>
      </w:pPr>
      <w:r>
        <w:rPr>
          <w:rFonts w:ascii="Arial" w:hAnsi="Arial" w:cs="Arial"/>
          <w:sz w:val="28"/>
          <w:szCs w:val="28"/>
        </w:rPr>
        <w:t>The Union Budget 2025-26, presented on 1</w:t>
      </w:r>
      <w:r w:rsidRPr="008052BA">
        <w:rPr>
          <w:rFonts w:ascii="Arial" w:hAnsi="Arial" w:cs="Arial"/>
          <w:sz w:val="28"/>
          <w:szCs w:val="28"/>
          <w:vertAlign w:val="superscript"/>
        </w:rPr>
        <w:t>st</w:t>
      </w:r>
      <w:r>
        <w:rPr>
          <w:rFonts w:ascii="Arial" w:hAnsi="Arial" w:cs="Arial"/>
          <w:sz w:val="28"/>
          <w:szCs w:val="28"/>
        </w:rPr>
        <w:t xml:space="preserve"> February 2025 by Finance Minister Nirmala Sitharaman, marks an important step in India’s economic journey as it attempts to strike a careful balance between accelerating growth and ensuring fiscal discipline. With the global economy facing uncertainties and domestic priorities demanding attention, the budget outlines a vision for inclusive development, strong infrastructure, and responsible financial management.The government has set the total expenditure for the financial year at ₹50.65 lakh crore, an increase of about 7.4 percent over the previous year’s revised estimates. On the receipts side, excluding borrowings, the government expects to collect ₹34.96 lakh crore, which represents a growth of about 11.1 percent. Net tax revenues are pegged at ₹28.37 lakh crore, reflecting optimism about buoyant collections. At the heart of this year’s fiscal strategy lies a major push for capital expenditure. A sum of ₹11.21 lakh crore has been earmarked, amounting to around 3.1 percent of GDP. This shows the government’s continued reliance on infrastructure-led growth, where public investment is expected to stimulate private investment and create jobs.Alongside this growth focus, fiscal consolidation has been given equal importance. The fiscal deficit target for FY 2025-26 has been set at 4.4 percent of GDP, lower than the revised figure of 4.8 percent in the previous year, while the revenue deficit is projected to fall to 1.5 percent. This downward trajectory in deficits signals the government’s intent to reduce borrowing and build macroeconomic stability. Yet, concerns remain because outstanding liabilities are expected to remain high at 56.1 percent of GDP. To address this, the government has laid out a medium-term plan to bring the debt level closer to 50 percent by 2031, thereby committing to prudent debt management.In terms of sectoral priorities, agriculture and rural development occupy a central place. The government has launched the Prime Minister Dhan-Dhaanya Krishi Yojana, which will cover 100 low-productivity districts and benefit nearly 1.7 crore farmers by improving yields and strengthening supply chains. Additionally, a six-year Mission for Aatmanirbharta in Pulses has been announced to achieve self-reliance in Tur, Urad, and Masoor. NAFED and NCCF have been tasked with assured procurement over the next four years to stabilise farmers’ incomes. These measures are significant at a time when food inflation and import dependency have been causes of concern.The budget also provides notable relief to the middle class through direct tax reforms. Under the new income tax regime, individuals earning up to ₹12 lakh annually will be entitled to a full rebate, effectively bringing them out of the tax net. Further, rationalisation of tax rules has been undertaken with the threshold for TDS on rent being raised from ₹2.4 lakh to ₹6 lakh per year. Such reforms not only ease compliance but also increase disposable income, thereby stimulating domestic demand.Overall, the budget attempts to create a synergy between immediate economic relief and long-term structural change. On the one hand, it enhances household purchasing power and supports agriculture; on the other, it builds infrastructure for future growth. The success of this vision, however, will depend on effective execution, tax buoyancy, and favourable global conditions. While the government has presented a pragmatic framework balancing growth with fiscal prudence, the challenge lies in ensuring that promises translate into tangible outcomes for citizens.</w:t>
      </w:r>
    </w:p>
    <w:p w14:paraId="53652E82" w14:textId="77777777" w:rsidR="00914DC4" w:rsidRDefault="00914DC4">
      <w:pPr>
        <w:rPr>
          <w:rFonts w:ascii="Arial" w:hAnsi="Arial" w:cs="Arial"/>
          <w:sz w:val="28"/>
          <w:szCs w:val="28"/>
        </w:rPr>
      </w:pPr>
    </w:p>
    <w:p w14:paraId="2ED74D36" w14:textId="68E4E0A1" w:rsidR="00D31202" w:rsidRDefault="00914DC4">
      <w:pPr>
        <w:rPr>
          <w:rFonts w:ascii="Arial" w:hAnsi="Arial" w:cs="Arial"/>
          <w:b/>
          <w:bCs/>
          <w:sz w:val="28"/>
          <w:szCs w:val="28"/>
          <w:u w:val="single"/>
        </w:rPr>
      </w:pPr>
      <w:r>
        <w:rPr>
          <w:rFonts w:ascii="Arial" w:hAnsi="Arial" w:cs="Arial"/>
          <w:b/>
          <w:bCs/>
          <w:sz w:val="28"/>
          <w:szCs w:val="28"/>
        </w:rPr>
        <w:t>Q.</w:t>
      </w:r>
      <w:r w:rsidRPr="00D31202">
        <w:rPr>
          <w:rFonts w:ascii="Arial" w:hAnsi="Arial" w:cs="Arial"/>
          <w:b/>
          <w:bCs/>
          <w:sz w:val="28"/>
          <w:szCs w:val="28"/>
          <w:u w:val="single"/>
        </w:rPr>
        <w:t xml:space="preserve"> Answer the following questions </w:t>
      </w:r>
      <w:r w:rsidR="00D31202">
        <w:rPr>
          <w:rFonts w:ascii="Arial" w:hAnsi="Arial" w:cs="Arial"/>
          <w:b/>
          <w:bCs/>
          <w:sz w:val="28"/>
          <w:szCs w:val="28"/>
          <w:u w:val="single"/>
        </w:rPr>
        <w:t>–</w:t>
      </w:r>
    </w:p>
    <w:p w14:paraId="4C5F2534" w14:textId="77777777" w:rsidR="00C44E16" w:rsidRPr="007D569C" w:rsidRDefault="00C44E16">
      <w:pPr>
        <w:rPr>
          <w:rFonts w:ascii="Arial" w:hAnsi="Arial" w:cs="Arial"/>
          <w:b/>
          <w:bCs/>
          <w:sz w:val="28"/>
          <w:szCs w:val="28"/>
        </w:rPr>
      </w:pPr>
      <w:r w:rsidRPr="007D569C">
        <w:rPr>
          <w:rFonts w:ascii="Arial" w:hAnsi="Arial" w:cs="Arial"/>
          <w:b/>
          <w:bCs/>
          <w:sz w:val="28"/>
          <w:szCs w:val="28"/>
        </w:rPr>
        <w:t>1. The fiscal deficit target of 4.4 percent of GDP in 2025-26 reflects a policy of:</w:t>
      </w:r>
    </w:p>
    <w:p w14:paraId="792322B0" w14:textId="77777777" w:rsidR="00C44E16" w:rsidRPr="007603B0" w:rsidRDefault="00C44E16">
      <w:pPr>
        <w:rPr>
          <w:rFonts w:ascii="Arial" w:hAnsi="Arial" w:cs="Arial"/>
          <w:sz w:val="28"/>
          <w:szCs w:val="28"/>
        </w:rPr>
      </w:pPr>
      <w:r w:rsidRPr="007603B0">
        <w:rPr>
          <w:rFonts w:ascii="Arial" w:hAnsi="Arial" w:cs="Arial"/>
          <w:sz w:val="28"/>
          <w:szCs w:val="28"/>
        </w:rPr>
        <w:t>A. Aggressive fiscal expansion</w:t>
      </w:r>
    </w:p>
    <w:p w14:paraId="53F6C23B" w14:textId="42AE3AA7" w:rsidR="00C44E16" w:rsidRPr="007603B0" w:rsidRDefault="00C44E16">
      <w:pPr>
        <w:rPr>
          <w:rFonts w:ascii="Arial" w:hAnsi="Arial" w:cs="Arial"/>
          <w:sz w:val="28"/>
          <w:szCs w:val="28"/>
        </w:rPr>
      </w:pPr>
      <w:r w:rsidRPr="007603B0">
        <w:rPr>
          <w:rFonts w:ascii="Arial" w:hAnsi="Arial" w:cs="Arial"/>
          <w:sz w:val="28"/>
          <w:szCs w:val="28"/>
        </w:rPr>
        <w:t xml:space="preserve">B. </w:t>
      </w:r>
      <w:r w:rsidR="00F5185C">
        <w:rPr>
          <w:rFonts w:ascii="Arial" w:hAnsi="Arial" w:cs="Arial"/>
          <w:sz w:val="28"/>
          <w:szCs w:val="28"/>
        </w:rPr>
        <w:t>Sudden austerity measures</w:t>
      </w:r>
    </w:p>
    <w:p w14:paraId="3C863ADC" w14:textId="77777777" w:rsidR="00C44E16" w:rsidRPr="007603B0" w:rsidRDefault="00C44E16">
      <w:pPr>
        <w:rPr>
          <w:rFonts w:ascii="Arial" w:hAnsi="Arial" w:cs="Arial"/>
          <w:sz w:val="28"/>
          <w:szCs w:val="28"/>
        </w:rPr>
      </w:pPr>
      <w:r w:rsidRPr="007603B0">
        <w:rPr>
          <w:rFonts w:ascii="Arial" w:hAnsi="Arial" w:cs="Arial"/>
          <w:sz w:val="28"/>
          <w:szCs w:val="28"/>
        </w:rPr>
        <w:t>C. Complete elimination of deficit</w:t>
      </w:r>
    </w:p>
    <w:p w14:paraId="048CD335" w14:textId="556CB9EC" w:rsidR="00C44E16" w:rsidRPr="007603B0" w:rsidRDefault="00C44E16">
      <w:pPr>
        <w:rPr>
          <w:rFonts w:ascii="Arial" w:hAnsi="Arial" w:cs="Arial"/>
          <w:sz w:val="28"/>
          <w:szCs w:val="28"/>
        </w:rPr>
      </w:pPr>
      <w:r w:rsidRPr="007603B0">
        <w:rPr>
          <w:rFonts w:ascii="Arial" w:hAnsi="Arial" w:cs="Arial"/>
          <w:sz w:val="28"/>
          <w:szCs w:val="28"/>
        </w:rPr>
        <w:t>D.</w:t>
      </w:r>
      <w:r w:rsidR="00F5185C">
        <w:rPr>
          <w:rFonts w:ascii="Arial" w:hAnsi="Arial" w:cs="Arial"/>
          <w:sz w:val="28"/>
          <w:szCs w:val="28"/>
        </w:rPr>
        <w:t xml:space="preserve"> </w:t>
      </w:r>
      <w:r w:rsidR="00A15F26">
        <w:rPr>
          <w:rFonts w:ascii="Arial" w:hAnsi="Arial" w:cs="Arial"/>
          <w:sz w:val="28"/>
          <w:szCs w:val="28"/>
        </w:rPr>
        <w:t xml:space="preserve">Gradual fiscal consolidation </w:t>
      </w:r>
    </w:p>
    <w:p w14:paraId="03B5C99A" w14:textId="77777777" w:rsidR="00C44E16" w:rsidRPr="007D569C" w:rsidRDefault="00C44E16">
      <w:pPr>
        <w:rPr>
          <w:rFonts w:ascii="Arial" w:hAnsi="Arial" w:cs="Arial"/>
          <w:b/>
          <w:bCs/>
          <w:sz w:val="28"/>
          <w:szCs w:val="28"/>
        </w:rPr>
      </w:pPr>
      <w:r w:rsidRPr="007D569C">
        <w:rPr>
          <w:rFonts w:ascii="Arial" w:hAnsi="Arial" w:cs="Arial"/>
          <w:b/>
          <w:bCs/>
          <w:sz w:val="28"/>
          <w:szCs w:val="28"/>
        </w:rPr>
        <w:t>2. The allocation of ₹11.21 lakh crore towards capital expenditure highlights the government’s emphasis on:</w:t>
      </w:r>
    </w:p>
    <w:p w14:paraId="7003C96C" w14:textId="77777777" w:rsidR="00C44E16" w:rsidRPr="007603B0" w:rsidRDefault="00C44E16">
      <w:pPr>
        <w:rPr>
          <w:rFonts w:ascii="Arial" w:hAnsi="Arial" w:cs="Arial"/>
          <w:sz w:val="28"/>
          <w:szCs w:val="28"/>
        </w:rPr>
      </w:pPr>
      <w:r w:rsidRPr="007603B0">
        <w:rPr>
          <w:rFonts w:ascii="Arial" w:hAnsi="Arial" w:cs="Arial"/>
          <w:sz w:val="28"/>
          <w:szCs w:val="28"/>
        </w:rPr>
        <w:t>A. Short-term subsidies</w:t>
      </w:r>
    </w:p>
    <w:p w14:paraId="5C532214" w14:textId="77777777" w:rsidR="00C44E16" w:rsidRPr="007603B0" w:rsidRDefault="00C44E16">
      <w:pPr>
        <w:rPr>
          <w:rFonts w:ascii="Arial" w:hAnsi="Arial" w:cs="Arial"/>
          <w:sz w:val="28"/>
          <w:szCs w:val="28"/>
        </w:rPr>
      </w:pPr>
      <w:r w:rsidRPr="007603B0">
        <w:rPr>
          <w:rFonts w:ascii="Arial" w:hAnsi="Arial" w:cs="Arial"/>
          <w:sz w:val="28"/>
          <w:szCs w:val="28"/>
        </w:rPr>
        <w:t>B. Long-term infrastructure creation</w:t>
      </w:r>
    </w:p>
    <w:p w14:paraId="7C4F3E0A" w14:textId="77777777" w:rsidR="00C44E16" w:rsidRPr="007603B0" w:rsidRDefault="00C44E16">
      <w:pPr>
        <w:rPr>
          <w:rFonts w:ascii="Arial" w:hAnsi="Arial" w:cs="Arial"/>
          <w:sz w:val="28"/>
          <w:szCs w:val="28"/>
        </w:rPr>
      </w:pPr>
      <w:r w:rsidRPr="007603B0">
        <w:rPr>
          <w:rFonts w:ascii="Arial" w:hAnsi="Arial" w:cs="Arial"/>
          <w:sz w:val="28"/>
          <w:szCs w:val="28"/>
        </w:rPr>
        <w:t>C. Interest repayment</w:t>
      </w:r>
    </w:p>
    <w:p w14:paraId="070C119A" w14:textId="77777777" w:rsidR="00C44E16" w:rsidRPr="007603B0" w:rsidRDefault="00C44E16">
      <w:pPr>
        <w:rPr>
          <w:rFonts w:ascii="Arial" w:hAnsi="Arial" w:cs="Arial"/>
          <w:sz w:val="28"/>
          <w:szCs w:val="28"/>
        </w:rPr>
      </w:pPr>
      <w:r w:rsidRPr="007603B0">
        <w:rPr>
          <w:rFonts w:ascii="Arial" w:hAnsi="Arial" w:cs="Arial"/>
          <w:sz w:val="28"/>
          <w:szCs w:val="28"/>
        </w:rPr>
        <w:t>D. Defence pensions</w:t>
      </w:r>
    </w:p>
    <w:p w14:paraId="3B27B89D" w14:textId="77777777" w:rsidR="00C44E16" w:rsidRPr="007D569C" w:rsidRDefault="00C44E16">
      <w:pPr>
        <w:rPr>
          <w:rFonts w:ascii="Arial" w:hAnsi="Arial" w:cs="Arial"/>
          <w:b/>
          <w:bCs/>
          <w:sz w:val="28"/>
          <w:szCs w:val="28"/>
        </w:rPr>
      </w:pPr>
      <w:r w:rsidRPr="007D569C">
        <w:rPr>
          <w:rFonts w:ascii="Arial" w:hAnsi="Arial" w:cs="Arial"/>
          <w:b/>
          <w:bCs/>
          <w:sz w:val="28"/>
          <w:szCs w:val="28"/>
        </w:rPr>
        <w:t>3. The rebate on income up to ₹12 lakh under the new tax regime is intended to:</w:t>
      </w:r>
    </w:p>
    <w:p w14:paraId="7DE24156" w14:textId="77777777" w:rsidR="00C44E16" w:rsidRPr="007603B0" w:rsidRDefault="00C44E16">
      <w:pPr>
        <w:rPr>
          <w:rFonts w:ascii="Arial" w:hAnsi="Arial" w:cs="Arial"/>
          <w:sz w:val="28"/>
          <w:szCs w:val="28"/>
        </w:rPr>
      </w:pPr>
      <w:r w:rsidRPr="007603B0">
        <w:rPr>
          <w:rFonts w:ascii="Arial" w:hAnsi="Arial" w:cs="Arial"/>
          <w:sz w:val="28"/>
          <w:szCs w:val="28"/>
        </w:rPr>
        <w:t>A. Encourage agricultural exports</w:t>
      </w:r>
    </w:p>
    <w:p w14:paraId="6BF18C6E" w14:textId="77777777" w:rsidR="00C44E16" w:rsidRPr="007603B0" w:rsidRDefault="00C44E16">
      <w:pPr>
        <w:rPr>
          <w:rFonts w:ascii="Arial" w:hAnsi="Arial" w:cs="Arial"/>
          <w:sz w:val="28"/>
          <w:szCs w:val="28"/>
        </w:rPr>
      </w:pPr>
      <w:r w:rsidRPr="007603B0">
        <w:rPr>
          <w:rFonts w:ascii="Arial" w:hAnsi="Arial" w:cs="Arial"/>
          <w:sz w:val="28"/>
          <w:szCs w:val="28"/>
        </w:rPr>
        <w:t>B. Boost household consumption through higher disposable income</w:t>
      </w:r>
    </w:p>
    <w:p w14:paraId="2CA55278" w14:textId="77777777" w:rsidR="00C44E16" w:rsidRPr="007603B0" w:rsidRDefault="00C44E16">
      <w:pPr>
        <w:rPr>
          <w:rFonts w:ascii="Arial" w:hAnsi="Arial" w:cs="Arial"/>
          <w:sz w:val="28"/>
          <w:szCs w:val="28"/>
        </w:rPr>
      </w:pPr>
      <w:r w:rsidRPr="007603B0">
        <w:rPr>
          <w:rFonts w:ascii="Arial" w:hAnsi="Arial" w:cs="Arial"/>
          <w:sz w:val="28"/>
          <w:szCs w:val="28"/>
        </w:rPr>
        <w:t>C. Reduce corporate borrowing</w:t>
      </w:r>
    </w:p>
    <w:p w14:paraId="5D599ED5" w14:textId="77777777" w:rsidR="00C44E16" w:rsidRPr="007603B0" w:rsidRDefault="00C44E16">
      <w:pPr>
        <w:rPr>
          <w:rFonts w:ascii="Arial" w:hAnsi="Arial" w:cs="Arial"/>
          <w:sz w:val="28"/>
          <w:szCs w:val="28"/>
        </w:rPr>
      </w:pPr>
      <w:r w:rsidRPr="007603B0">
        <w:rPr>
          <w:rFonts w:ascii="Arial" w:hAnsi="Arial" w:cs="Arial"/>
          <w:sz w:val="28"/>
          <w:szCs w:val="28"/>
        </w:rPr>
        <w:t>D. Support foreign investors</w:t>
      </w:r>
    </w:p>
    <w:p w14:paraId="2F968F26" w14:textId="77777777" w:rsidR="00C44E16" w:rsidRPr="00BA5091" w:rsidRDefault="00C44E16">
      <w:pPr>
        <w:rPr>
          <w:rFonts w:ascii="Arial" w:hAnsi="Arial" w:cs="Arial"/>
          <w:b/>
          <w:bCs/>
          <w:sz w:val="28"/>
          <w:szCs w:val="28"/>
        </w:rPr>
      </w:pPr>
      <w:r w:rsidRPr="00BA5091">
        <w:rPr>
          <w:rFonts w:ascii="Arial" w:hAnsi="Arial" w:cs="Arial"/>
          <w:b/>
          <w:bCs/>
          <w:sz w:val="28"/>
          <w:szCs w:val="28"/>
        </w:rPr>
        <w:t>4. By raising the TDS threshold on rent to ₹6 lakh annually, the budget is expected to provide relief to:</w:t>
      </w:r>
    </w:p>
    <w:p w14:paraId="3DFE665E" w14:textId="77777777" w:rsidR="00C44E16" w:rsidRPr="007603B0" w:rsidRDefault="00C44E16">
      <w:pPr>
        <w:rPr>
          <w:rFonts w:ascii="Arial" w:hAnsi="Arial" w:cs="Arial"/>
          <w:sz w:val="28"/>
          <w:szCs w:val="28"/>
        </w:rPr>
      </w:pPr>
      <w:r w:rsidRPr="007603B0">
        <w:rPr>
          <w:rFonts w:ascii="Arial" w:hAnsi="Arial" w:cs="Arial"/>
          <w:sz w:val="28"/>
          <w:szCs w:val="28"/>
        </w:rPr>
        <w:t>A. Large multinational landlords</w:t>
      </w:r>
    </w:p>
    <w:p w14:paraId="63A9FB83" w14:textId="77777777" w:rsidR="00C44E16" w:rsidRPr="007603B0" w:rsidRDefault="00C44E16">
      <w:pPr>
        <w:rPr>
          <w:rFonts w:ascii="Arial" w:hAnsi="Arial" w:cs="Arial"/>
          <w:sz w:val="28"/>
          <w:szCs w:val="28"/>
        </w:rPr>
      </w:pPr>
      <w:r w:rsidRPr="007603B0">
        <w:rPr>
          <w:rFonts w:ascii="Arial" w:hAnsi="Arial" w:cs="Arial"/>
          <w:sz w:val="28"/>
          <w:szCs w:val="28"/>
        </w:rPr>
        <w:t>B. Middle-income tenants and small property owners</w:t>
      </w:r>
    </w:p>
    <w:p w14:paraId="0B22C8DA" w14:textId="77777777" w:rsidR="00C44E16" w:rsidRPr="007603B0" w:rsidRDefault="00C44E16">
      <w:pPr>
        <w:rPr>
          <w:rFonts w:ascii="Arial" w:hAnsi="Arial" w:cs="Arial"/>
          <w:sz w:val="28"/>
          <w:szCs w:val="28"/>
        </w:rPr>
      </w:pPr>
      <w:r w:rsidRPr="007603B0">
        <w:rPr>
          <w:rFonts w:ascii="Arial" w:hAnsi="Arial" w:cs="Arial"/>
          <w:sz w:val="28"/>
          <w:szCs w:val="28"/>
        </w:rPr>
        <w:t>C. Government employees only</w:t>
      </w:r>
    </w:p>
    <w:p w14:paraId="50801B20" w14:textId="77777777" w:rsidR="00C44E16" w:rsidRPr="007603B0" w:rsidRDefault="00C44E16">
      <w:pPr>
        <w:rPr>
          <w:rFonts w:ascii="Arial" w:hAnsi="Arial" w:cs="Arial"/>
          <w:sz w:val="28"/>
          <w:szCs w:val="28"/>
        </w:rPr>
      </w:pPr>
      <w:r w:rsidRPr="007603B0">
        <w:rPr>
          <w:rFonts w:ascii="Arial" w:hAnsi="Arial" w:cs="Arial"/>
          <w:sz w:val="28"/>
          <w:szCs w:val="28"/>
        </w:rPr>
        <w:t>D. Export-oriented industrial units</w:t>
      </w:r>
    </w:p>
    <w:p w14:paraId="02094452" w14:textId="77777777" w:rsidR="00C44E16" w:rsidRPr="00BA5091" w:rsidRDefault="00C44E16">
      <w:pPr>
        <w:rPr>
          <w:rFonts w:ascii="Arial" w:hAnsi="Arial" w:cs="Arial"/>
          <w:b/>
          <w:bCs/>
          <w:sz w:val="28"/>
          <w:szCs w:val="28"/>
        </w:rPr>
      </w:pPr>
      <w:r w:rsidRPr="00BA5091">
        <w:rPr>
          <w:rFonts w:ascii="Arial" w:hAnsi="Arial" w:cs="Arial"/>
          <w:b/>
          <w:bCs/>
          <w:sz w:val="28"/>
          <w:szCs w:val="28"/>
        </w:rPr>
        <w:t>5. The projected revenue deficit of 1.5 percent of GDP in 2025-26 suggests:</w:t>
      </w:r>
    </w:p>
    <w:p w14:paraId="388EA0EE" w14:textId="77777777" w:rsidR="00C44E16" w:rsidRPr="007603B0" w:rsidRDefault="00C44E16">
      <w:pPr>
        <w:rPr>
          <w:rFonts w:ascii="Arial" w:hAnsi="Arial" w:cs="Arial"/>
          <w:sz w:val="28"/>
          <w:szCs w:val="28"/>
        </w:rPr>
      </w:pPr>
      <w:r w:rsidRPr="007603B0">
        <w:rPr>
          <w:rFonts w:ascii="Arial" w:hAnsi="Arial" w:cs="Arial"/>
          <w:sz w:val="28"/>
          <w:szCs w:val="28"/>
        </w:rPr>
        <w:t>A. Greater reliance on borrowings for revenue expenditure</w:t>
      </w:r>
    </w:p>
    <w:p w14:paraId="52C0AB92" w14:textId="77777777" w:rsidR="00C44E16" w:rsidRPr="007603B0" w:rsidRDefault="00C44E16">
      <w:pPr>
        <w:rPr>
          <w:rFonts w:ascii="Arial" w:hAnsi="Arial" w:cs="Arial"/>
          <w:sz w:val="28"/>
          <w:szCs w:val="28"/>
        </w:rPr>
      </w:pPr>
      <w:r w:rsidRPr="007603B0">
        <w:rPr>
          <w:rFonts w:ascii="Arial" w:hAnsi="Arial" w:cs="Arial"/>
          <w:sz w:val="28"/>
          <w:szCs w:val="28"/>
        </w:rPr>
        <w:t>B. Improved balance between revenue and capital expenditure</w:t>
      </w:r>
    </w:p>
    <w:p w14:paraId="4482DA1A" w14:textId="77777777" w:rsidR="00C44E16" w:rsidRPr="007603B0" w:rsidRDefault="00C44E16">
      <w:pPr>
        <w:rPr>
          <w:rFonts w:ascii="Arial" w:hAnsi="Arial" w:cs="Arial"/>
          <w:sz w:val="28"/>
          <w:szCs w:val="28"/>
        </w:rPr>
      </w:pPr>
      <w:r w:rsidRPr="007603B0">
        <w:rPr>
          <w:rFonts w:ascii="Arial" w:hAnsi="Arial" w:cs="Arial"/>
          <w:sz w:val="28"/>
          <w:szCs w:val="28"/>
        </w:rPr>
        <w:t>C. Decline in infrastructure funding</w:t>
      </w:r>
    </w:p>
    <w:p w14:paraId="6AF5FE05" w14:textId="77777777" w:rsidR="00C44E16" w:rsidRPr="007603B0" w:rsidRDefault="00C44E16">
      <w:pPr>
        <w:rPr>
          <w:rFonts w:ascii="Arial" w:hAnsi="Arial" w:cs="Arial"/>
          <w:sz w:val="28"/>
          <w:szCs w:val="28"/>
        </w:rPr>
      </w:pPr>
      <w:r w:rsidRPr="007603B0">
        <w:rPr>
          <w:rFonts w:ascii="Arial" w:hAnsi="Arial" w:cs="Arial"/>
          <w:sz w:val="28"/>
          <w:szCs w:val="28"/>
        </w:rPr>
        <w:t>D. Elimination of subsidies</w:t>
      </w:r>
    </w:p>
    <w:p w14:paraId="0D543C93" w14:textId="77777777" w:rsidR="00C44E16" w:rsidRPr="00BA5091" w:rsidRDefault="00C44E16">
      <w:pPr>
        <w:rPr>
          <w:rFonts w:ascii="Arial" w:hAnsi="Arial" w:cs="Arial"/>
          <w:b/>
          <w:bCs/>
          <w:sz w:val="28"/>
          <w:szCs w:val="28"/>
        </w:rPr>
      </w:pPr>
      <w:r w:rsidRPr="00BA5091">
        <w:rPr>
          <w:rFonts w:ascii="Arial" w:hAnsi="Arial" w:cs="Arial"/>
          <w:b/>
          <w:bCs/>
          <w:sz w:val="28"/>
          <w:szCs w:val="28"/>
        </w:rPr>
        <w:t>6. The Dhan-Dhaanya Krishi Yojana is expected to benefit:</w:t>
      </w:r>
    </w:p>
    <w:p w14:paraId="73A48EE5" w14:textId="24EEE989" w:rsidR="00C44E16" w:rsidRPr="007603B0" w:rsidRDefault="00C44E16">
      <w:pPr>
        <w:rPr>
          <w:rFonts w:ascii="Arial" w:hAnsi="Arial" w:cs="Arial"/>
          <w:sz w:val="28"/>
          <w:szCs w:val="28"/>
        </w:rPr>
      </w:pPr>
      <w:r w:rsidRPr="007603B0">
        <w:rPr>
          <w:rFonts w:ascii="Arial" w:hAnsi="Arial" w:cs="Arial"/>
          <w:sz w:val="28"/>
          <w:szCs w:val="28"/>
        </w:rPr>
        <w:t xml:space="preserve">A. </w:t>
      </w:r>
      <w:r w:rsidR="00B42AD1">
        <w:rPr>
          <w:rFonts w:ascii="Arial" w:hAnsi="Arial" w:cs="Arial"/>
          <w:sz w:val="28"/>
          <w:szCs w:val="28"/>
        </w:rPr>
        <w:t>Farmers in low-productivity districts</w:t>
      </w:r>
    </w:p>
    <w:p w14:paraId="0B0AC993" w14:textId="161AE39C" w:rsidR="00C44E16" w:rsidRPr="007603B0" w:rsidRDefault="00C44E16">
      <w:pPr>
        <w:rPr>
          <w:rFonts w:ascii="Arial" w:hAnsi="Arial" w:cs="Arial"/>
          <w:sz w:val="28"/>
          <w:szCs w:val="28"/>
        </w:rPr>
      </w:pPr>
      <w:r w:rsidRPr="007603B0">
        <w:rPr>
          <w:rFonts w:ascii="Arial" w:hAnsi="Arial" w:cs="Arial"/>
          <w:sz w:val="28"/>
          <w:szCs w:val="28"/>
        </w:rPr>
        <w:t xml:space="preserve">B. </w:t>
      </w:r>
      <w:r w:rsidR="00B42AD1">
        <w:rPr>
          <w:rFonts w:ascii="Arial" w:hAnsi="Arial" w:cs="Arial"/>
          <w:sz w:val="28"/>
          <w:szCs w:val="28"/>
        </w:rPr>
        <w:t xml:space="preserve">Urban industrial workers </w:t>
      </w:r>
    </w:p>
    <w:p w14:paraId="37E3D2E9" w14:textId="77777777" w:rsidR="00C44E16" w:rsidRPr="007603B0" w:rsidRDefault="00C44E16">
      <w:pPr>
        <w:rPr>
          <w:rFonts w:ascii="Arial" w:hAnsi="Arial" w:cs="Arial"/>
          <w:sz w:val="28"/>
          <w:szCs w:val="28"/>
        </w:rPr>
      </w:pPr>
      <w:r w:rsidRPr="007603B0">
        <w:rPr>
          <w:rFonts w:ascii="Arial" w:hAnsi="Arial" w:cs="Arial"/>
          <w:sz w:val="28"/>
          <w:szCs w:val="28"/>
        </w:rPr>
        <w:t>C. Export houses in SEZs</w:t>
      </w:r>
    </w:p>
    <w:p w14:paraId="3A1F0B90" w14:textId="77777777" w:rsidR="00C44E16" w:rsidRPr="007603B0" w:rsidRDefault="00C44E16">
      <w:pPr>
        <w:rPr>
          <w:rFonts w:ascii="Arial" w:hAnsi="Arial" w:cs="Arial"/>
          <w:sz w:val="28"/>
          <w:szCs w:val="28"/>
        </w:rPr>
      </w:pPr>
      <w:r w:rsidRPr="007603B0">
        <w:rPr>
          <w:rFonts w:ascii="Arial" w:hAnsi="Arial" w:cs="Arial"/>
          <w:sz w:val="28"/>
          <w:szCs w:val="28"/>
        </w:rPr>
        <w:t>D. Automobile manufacturers</w:t>
      </w:r>
    </w:p>
    <w:p w14:paraId="7BAD2C1C" w14:textId="77777777" w:rsidR="00C44E16" w:rsidRPr="00BA5091" w:rsidRDefault="00C44E16">
      <w:pPr>
        <w:rPr>
          <w:rFonts w:ascii="Arial" w:hAnsi="Arial" w:cs="Arial"/>
          <w:b/>
          <w:bCs/>
          <w:sz w:val="28"/>
          <w:szCs w:val="28"/>
        </w:rPr>
      </w:pPr>
      <w:r w:rsidRPr="00BA5091">
        <w:rPr>
          <w:rFonts w:ascii="Arial" w:hAnsi="Arial" w:cs="Arial"/>
          <w:b/>
          <w:bCs/>
          <w:sz w:val="28"/>
          <w:szCs w:val="28"/>
        </w:rPr>
        <w:t>7. The estimated outstanding liabilities of 56.1 percent of GDP in 2025-26 point towards:</w:t>
      </w:r>
    </w:p>
    <w:p w14:paraId="3D82368B" w14:textId="77777777" w:rsidR="00C44E16" w:rsidRPr="007603B0" w:rsidRDefault="00C44E16">
      <w:pPr>
        <w:rPr>
          <w:rFonts w:ascii="Arial" w:hAnsi="Arial" w:cs="Arial"/>
          <w:sz w:val="28"/>
          <w:szCs w:val="28"/>
        </w:rPr>
      </w:pPr>
      <w:r w:rsidRPr="007603B0">
        <w:rPr>
          <w:rFonts w:ascii="Arial" w:hAnsi="Arial" w:cs="Arial"/>
          <w:sz w:val="28"/>
          <w:szCs w:val="28"/>
        </w:rPr>
        <w:t>A. Fiscal surplus</w:t>
      </w:r>
    </w:p>
    <w:p w14:paraId="47733C73" w14:textId="77777777" w:rsidR="00C44E16" w:rsidRPr="007603B0" w:rsidRDefault="00C44E16">
      <w:pPr>
        <w:rPr>
          <w:rFonts w:ascii="Arial" w:hAnsi="Arial" w:cs="Arial"/>
          <w:sz w:val="28"/>
          <w:szCs w:val="28"/>
        </w:rPr>
      </w:pPr>
      <w:r w:rsidRPr="007603B0">
        <w:rPr>
          <w:rFonts w:ascii="Arial" w:hAnsi="Arial" w:cs="Arial"/>
          <w:sz w:val="28"/>
          <w:szCs w:val="28"/>
        </w:rPr>
        <w:t>B. A high debt burden requiring careful management</w:t>
      </w:r>
    </w:p>
    <w:p w14:paraId="2AE2EC55" w14:textId="77777777" w:rsidR="00C44E16" w:rsidRPr="007603B0" w:rsidRDefault="00C44E16">
      <w:pPr>
        <w:rPr>
          <w:rFonts w:ascii="Arial" w:hAnsi="Arial" w:cs="Arial"/>
          <w:sz w:val="28"/>
          <w:szCs w:val="28"/>
        </w:rPr>
      </w:pPr>
      <w:r w:rsidRPr="007603B0">
        <w:rPr>
          <w:rFonts w:ascii="Arial" w:hAnsi="Arial" w:cs="Arial"/>
          <w:sz w:val="28"/>
          <w:szCs w:val="28"/>
        </w:rPr>
        <w:t>C. A sharp fall in external debt</w:t>
      </w:r>
    </w:p>
    <w:p w14:paraId="094A1FB1" w14:textId="77777777" w:rsidR="00571256" w:rsidRDefault="00C44E16">
      <w:pPr>
        <w:rPr>
          <w:rFonts w:ascii="Arial" w:hAnsi="Arial" w:cs="Arial"/>
          <w:sz w:val="28"/>
          <w:szCs w:val="28"/>
        </w:rPr>
      </w:pPr>
      <w:r w:rsidRPr="007603B0">
        <w:rPr>
          <w:rFonts w:ascii="Arial" w:hAnsi="Arial" w:cs="Arial"/>
          <w:sz w:val="28"/>
          <w:szCs w:val="28"/>
        </w:rPr>
        <w:t>D. Declining foreign reserves</w:t>
      </w:r>
    </w:p>
    <w:p w14:paraId="72ED6074" w14:textId="749167DB" w:rsidR="00C44E16" w:rsidRPr="00BA5091" w:rsidRDefault="00C44E16">
      <w:pPr>
        <w:rPr>
          <w:rFonts w:ascii="Arial" w:hAnsi="Arial" w:cs="Arial"/>
          <w:b/>
          <w:bCs/>
          <w:sz w:val="28"/>
          <w:szCs w:val="28"/>
        </w:rPr>
      </w:pPr>
      <w:r w:rsidRPr="00BA5091">
        <w:rPr>
          <w:rFonts w:ascii="Arial" w:hAnsi="Arial" w:cs="Arial"/>
          <w:b/>
          <w:bCs/>
          <w:sz w:val="28"/>
          <w:szCs w:val="28"/>
        </w:rPr>
        <w:t>8. The 11.1 percent growth in receipts (excluding borrowings) indicates:</w:t>
      </w:r>
    </w:p>
    <w:p w14:paraId="179A3BE7" w14:textId="77777777" w:rsidR="00C44E16" w:rsidRPr="007603B0" w:rsidRDefault="00C44E16">
      <w:pPr>
        <w:rPr>
          <w:rFonts w:ascii="Arial" w:hAnsi="Arial" w:cs="Arial"/>
          <w:sz w:val="28"/>
          <w:szCs w:val="28"/>
        </w:rPr>
      </w:pPr>
      <w:r w:rsidRPr="007603B0">
        <w:rPr>
          <w:rFonts w:ascii="Arial" w:hAnsi="Arial" w:cs="Arial"/>
          <w:sz w:val="28"/>
          <w:szCs w:val="28"/>
        </w:rPr>
        <w:t>A. Stagnant tax revenues</w:t>
      </w:r>
    </w:p>
    <w:p w14:paraId="12F8C6D7" w14:textId="77777777" w:rsidR="00C44E16" w:rsidRPr="007603B0" w:rsidRDefault="00C44E16">
      <w:pPr>
        <w:rPr>
          <w:rFonts w:ascii="Arial" w:hAnsi="Arial" w:cs="Arial"/>
          <w:sz w:val="28"/>
          <w:szCs w:val="28"/>
        </w:rPr>
      </w:pPr>
      <w:r w:rsidRPr="007603B0">
        <w:rPr>
          <w:rFonts w:ascii="Arial" w:hAnsi="Arial" w:cs="Arial"/>
          <w:sz w:val="28"/>
          <w:szCs w:val="28"/>
        </w:rPr>
        <w:t>B. Stronger revenue mobilisation expectations</w:t>
      </w:r>
    </w:p>
    <w:p w14:paraId="6CF0E93D" w14:textId="77777777" w:rsidR="00C44E16" w:rsidRPr="007603B0" w:rsidRDefault="00C44E16">
      <w:pPr>
        <w:rPr>
          <w:rFonts w:ascii="Arial" w:hAnsi="Arial" w:cs="Arial"/>
          <w:sz w:val="28"/>
          <w:szCs w:val="28"/>
        </w:rPr>
      </w:pPr>
      <w:r w:rsidRPr="007603B0">
        <w:rPr>
          <w:rFonts w:ascii="Arial" w:hAnsi="Arial" w:cs="Arial"/>
          <w:sz w:val="28"/>
          <w:szCs w:val="28"/>
        </w:rPr>
        <w:t>C. Decline in disinvestment targets</w:t>
      </w:r>
    </w:p>
    <w:p w14:paraId="7130BFC5" w14:textId="77777777" w:rsidR="00C44E16" w:rsidRPr="007603B0" w:rsidRDefault="00C44E16">
      <w:pPr>
        <w:rPr>
          <w:rFonts w:ascii="Arial" w:hAnsi="Arial" w:cs="Arial"/>
          <w:sz w:val="28"/>
          <w:szCs w:val="28"/>
        </w:rPr>
      </w:pPr>
      <w:r w:rsidRPr="007603B0">
        <w:rPr>
          <w:rFonts w:ascii="Arial" w:hAnsi="Arial" w:cs="Arial"/>
          <w:sz w:val="28"/>
          <w:szCs w:val="28"/>
        </w:rPr>
        <w:t>D. Dependence on foreign aid</w:t>
      </w:r>
    </w:p>
    <w:p w14:paraId="453A024C" w14:textId="77777777" w:rsidR="00C44E16" w:rsidRPr="00BA5091" w:rsidRDefault="00C44E16">
      <w:pPr>
        <w:rPr>
          <w:rFonts w:ascii="Arial" w:hAnsi="Arial" w:cs="Arial"/>
          <w:b/>
          <w:bCs/>
          <w:sz w:val="28"/>
          <w:szCs w:val="28"/>
        </w:rPr>
      </w:pPr>
      <w:r w:rsidRPr="00BA5091">
        <w:rPr>
          <w:rFonts w:ascii="Arial" w:hAnsi="Arial" w:cs="Arial"/>
          <w:b/>
          <w:bCs/>
          <w:sz w:val="28"/>
          <w:szCs w:val="28"/>
        </w:rPr>
        <w:t>9. The approach to subsidies in the budget can be described as:</w:t>
      </w:r>
    </w:p>
    <w:p w14:paraId="5D77095B" w14:textId="77777777" w:rsidR="00C44E16" w:rsidRPr="007603B0" w:rsidRDefault="00C44E16">
      <w:pPr>
        <w:rPr>
          <w:rFonts w:ascii="Arial" w:hAnsi="Arial" w:cs="Arial"/>
          <w:sz w:val="28"/>
          <w:szCs w:val="28"/>
        </w:rPr>
      </w:pPr>
      <w:r w:rsidRPr="007603B0">
        <w:rPr>
          <w:rFonts w:ascii="Arial" w:hAnsi="Arial" w:cs="Arial"/>
          <w:sz w:val="28"/>
          <w:szCs w:val="28"/>
        </w:rPr>
        <w:t>A. Substantially expanded across sectors</w:t>
      </w:r>
    </w:p>
    <w:p w14:paraId="3AAEC98A" w14:textId="77777777" w:rsidR="00C44E16" w:rsidRPr="007603B0" w:rsidRDefault="00C44E16">
      <w:pPr>
        <w:rPr>
          <w:rFonts w:ascii="Arial" w:hAnsi="Arial" w:cs="Arial"/>
          <w:sz w:val="28"/>
          <w:szCs w:val="28"/>
        </w:rPr>
      </w:pPr>
      <w:r w:rsidRPr="007603B0">
        <w:rPr>
          <w:rFonts w:ascii="Arial" w:hAnsi="Arial" w:cs="Arial"/>
          <w:sz w:val="28"/>
          <w:szCs w:val="28"/>
        </w:rPr>
        <w:t>B. Maintained at nearly the same level as last year</w:t>
      </w:r>
    </w:p>
    <w:p w14:paraId="5E769909" w14:textId="77777777" w:rsidR="00C44E16" w:rsidRPr="007603B0" w:rsidRDefault="00C44E16">
      <w:pPr>
        <w:rPr>
          <w:rFonts w:ascii="Arial" w:hAnsi="Arial" w:cs="Arial"/>
          <w:sz w:val="28"/>
          <w:szCs w:val="28"/>
        </w:rPr>
      </w:pPr>
      <w:r w:rsidRPr="007603B0">
        <w:rPr>
          <w:rFonts w:ascii="Arial" w:hAnsi="Arial" w:cs="Arial"/>
          <w:sz w:val="28"/>
          <w:szCs w:val="28"/>
        </w:rPr>
        <w:t>C. Entirely eliminated in favour of cash transfers</w:t>
      </w:r>
    </w:p>
    <w:p w14:paraId="06D9C950" w14:textId="77777777" w:rsidR="00C44E16" w:rsidRPr="007603B0" w:rsidRDefault="00C44E16">
      <w:pPr>
        <w:rPr>
          <w:rFonts w:ascii="Arial" w:hAnsi="Arial" w:cs="Arial"/>
          <w:sz w:val="28"/>
          <w:szCs w:val="28"/>
        </w:rPr>
      </w:pPr>
      <w:r w:rsidRPr="007603B0">
        <w:rPr>
          <w:rFonts w:ascii="Arial" w:hAnsi="Arial" w:cs="Arial"/>
          <w:sz w:val="28"/>
          <w:szCs w:val="28"/>
        </w:rPr>
        <w:t>D. Shifted fully to private funding</w:t>
      </w:r>
    </w:p>
    <w:p w14:paraId="109D0778" w14:textId="77777777" w:rsidR="00C44E16" w:rsidRPr="00BA5091" w:rsidRDefault="00C44E16">
      <w:pPr>
        <w:rPr>
          <w:rFonts w:ascii="Arial" w:hAnsi="Arial" w:cs="Arial"/>
          <w:b/>
          <w:bCs/>
          <w:sz w:val="28"/>
          <w:szCs w:val="28"/>
        </w:rPr>
      </w:pPr>
      <w:r w:rsidRPr="00BA5091">
        <w:rPr>
          <w:rFonts w:ascii="Arial" w:hAnsi="Arial" w:cs="Arial"/>
          <w:b/>
          <w:bCs/>
          <w:sz w:val="28"/>
          <w:szCs w:val="28"/>
        </w:rPr>
        <w:t>10. The assumption of 10.1 percent nominal GDP growth is important because it:</w:t>
      </w:r>
    </w:p>
    <w:p w14:paraId="73344754" w14:textId="77777777" w:rsidR="00C44E16" w:rsidRPr="007603B0" w:rsidRDefault="00C44E16">
      <w:pPr>
        <w:rPr>
          <w:rFonts w:ascii="Arial" w:hAnsi="Arial" w:cs="Arial"/>
          <w:sz w:val="28"/>
          <w:szCs w:val="28"/>
        </w:rPr>
      </w:pPr>
      <w:r w:rsidRPr="007603B0">
        <w:rPr>
          <w:rFonts w:ascii="Arial" w:hAnsi="Arial" w:cs="Arial"/>
          <w:sz w:val="28"/>
          <w:szCs w:val="28"/>
        </w:rPr>
        <w:t>A. Guarantees real growth of the same rate</w:t>
      </w:r>
    </w:p>
    <w:p w14:paraId="37A15F52" w14:textId="3CCB6688" w:rsidR="00C44E16" w:rsidRPr="007603B0" w:rsidRDefault="00C44E16">
      <w:pPr>
        <w:rPr>
          <w:rFonts w:ascii="Arial" w:hAnsi="Arial" w:cs="Arial"/>
          <w:sz w:val="28"/>
          <w:szCs w:val="28"/>
        </w:rPr>
      </w:pPr>
      <w:r w:rsidRPr="007603B0">
        <w:rPr>
          <w:rFonts w:ascii="Arial" w:hAnsi="Arial" w:cs="Arial"/>
          <w:sz w:val="28"/>
          <w:szCs w:val="28"/>
        </w:rPr>
        <w:t>B</w:t>
      </w:r>
      <w:r w:rsidR="00E409BC">
        <w:rPr>
          <w:rFonts w:ascii="Arial" w:hAnsi="Arial" w:cs="Arial"/>
          <w:sz w:val="28"/>
          <w:szCs w:val="28"/>
        </w:rPr>
        <w:t xml:space="preserve"> </w:t>
      </w:r>
      <w:r w:rsidR="000A1463">
        <w:rPr>
          <w:rFonts w:ascii="Arial" w:hAnsi="Arial" w:cs="Arial"/>
          <w:sz w:val="28"/>
          <w:szCs w:val="28"/>
        </w:rPr>
        <w:t>Automatically reduces government debt</w:t>
      </w:r>
    </w:p>
    <w:p w14:paraId="44D2A5BB" w14:textId="02025D29" w:rsidR="00C44E16" w:rsidRPr="007603B0" w:rsidRDefault="00C44E16">
      <w:pPr>
        <w:rPr>
          <w:rFonts w:ascii="Arial" w:hAnsi="Arial" w:cs="Arial"/>
          <w:sz w:val="28"/>
          <w:szCs w:val="28"/>
        </w:rPr>
      </w:pPr>
      <w:r w:rsidRPr="007603B0">
        <w:rPr>
          <w:rFonts w:ascii="Arial" w:hAnsi="Arial" w:cs="Arial"/>
          <w:sz w:val="28"/>
          <w:szCs w:val="28"/>
        </w:rPr>
        <w:t>C</w:t>
      </w:r>
      <w:r w:rsidR="00E409BC">
        <w:rPr>
          <w:rFonts w:ascii="Arial" w:hAnsi="Arial" w:cs="Arial"/>
          <w:sz w:val="28"/>
          <w:szCs w:val="28"/>
        </w:rPr>
        <w:t xml:space="preserve"> . Serves as the base for calculating deficit ratios and revenue projections</w:t>
      </w:r>
    </w:p>
    <w:p w14:paraId="602CC1B6" w14:textId="77777777" w:rsidR="00C44E16" w:rsidRPr="007603B0" w:rsidRDefault="00C44E16">
      <w:pPr>
        <w:rPr>
          <w:rFonts w:ascii="Arial" w:hAnsi="Arial" w:cs="Arial"/>
          <w:sz w:val="28"/>
          <w:szCs w:val="28"/>
        </w:rPr>
      </w:pPr>
      <w:r w:rsidRPr="007603B0">
        <w:rPr>
          <w:rFonts w:ascii="Arial" w:hAnsi="Arial" w:cs="Arial"/>
          <w:sz w:val="28"/>
          <w:szCs w:val="28"/>
        </w:rPr>
        <w:t>D. Determines global commodity prices</w:t>
      </w:r>
    </w:p>
    <w:p w14:paraId="5765AD85" w14:textId="77777777" w:rsidR="008052BA" w:rsidRPr="007603B0" w:rsidRDefault="008052BA">
      <w:pPr>
        <w:rPr>
          <w:rFonts w:ascii="Arial" w:hAnsi="Arial" w:cs="Arial"/>
          <w:sz w:val="28"/>
          <w:szCs w:val="28"/>
        </w:rPr>
      </w:pPr>
    </w:p>
    <w:sectPr w:rsidR="008052BA" w:rsidRPr="00760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BA"/>
    <w:rsid w:val="000A1463"/>
    <w:rsid w:val="00165973"/>
    <w:rsid w:val="002A1D65"/>
    <w:rsid w:val="00480C2B"/>
    <w:rsid w:val="00571256"/>
    <w:rsid w:val="006D375C"/>
    <w:rsid w:val="007603B0"/>
    <w:rsid w:val="007D569C"/>
    <w:rsid w:val="008052BA"/>
    <w:rsid w:val="00914DC4"/>
    <w:rsid w:val="00A15F26"/>
    <w:rsid w:val="00B42AD1"/>
    <w:rsid w:val="00BA5091"/>
    <w:rsid w:val="00C44E16"/>
    <w:rsid w:val="00C7291D"/>
    <w:rsid w:val="00D31202"/>
    <w:rsid w:val="00E409BC"/>
    <w:rsid w:val="00F51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783F5A"/>
  <w15:chartTrackingRefBased/>
  <w15:docId w15:val="{79FDC775-79C0-CB44-9DCA-1CB16624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2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2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2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2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2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2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2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2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2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2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2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2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2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2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2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2BA"/>
    <w:rPr>
      <w:rFonts w:eastAsiaTheme="majorEastAsia" w:cstheme="majorBidi"/>
      <w:color w:val="272727" w:themeColor="text1" w:themeTint="D8"/>
    </w:rPr>
  </w:style>
  <w:style w:type="paragraph" w:styleId="Title">
    <w:name w:val="Title"/>
    <w:basedOn w:val="Normal"/>
    <w:next w:val="Normal"/>
    <w:link w:val="TitleChar"/>
    <w:uiPriority w:val="10"/>
    <w:qFormat/>
    <w:rsid w:val="00805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2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2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2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2BA"/>
    <w:pPr>
      <w:spacing w:before="160"/>
      <w:jc w:val="center"/>
    </w:pPr>
    <w:rPr>
      <w:i/>
      <w:iCs/>
      <w:color w:val="404040" w:themeColor="text1" w:themeTint="BF"/>
    </w:rPr>
  </w:style>
  <w:style w:type="character" w:customStyle="1" w:styleId="QuoteChar">
    <w:name w:val="Quote Char"/>
    <w:basedOn w:val="DefaultParagraphFont"/>
    <w:link w:val="Quote"/>
    <w:uiPriority w:val="29"/>
    <w:rsid w:val="008052BA"/>
    <w:rPr>
      <w:i/>
      <w:iCs/>
      <w:color w:val="404040" w:themeColor="text1" w:themeTint="BF"/>
    </w:rPr>
  </w:style>
  <w:style w:type="paragraph" w:styleId="ListParagraph">
    <w:name w:val="List Paragraph"/>
    <w:basedOn w:val="Normal"/>
    <w:uiPriority w:val="34"/>
    <w:qFormat/>
    <w:rsid w:val="008052BA"/>
    <w:pPr>
      <w:ind w:left="720"/>
      <w:contextualSpacing/>
    </w:pPr>
  </w:style>
  <w:style w:type="character" w:styleId="IntenseEmphasis">
    <w:name w:val="Intense Emphasis"/>
    <w:basedOn w:val="DefaultParagraphFont"/>
    <w:uiPriority w:val="21"/>
    <w:qFormat/>
    <w:rsid w:val="008052BA"/>
    <w:rPr>
      <w:i/>
      <w:iCs/>
      <w:color w:val="0F4761" w:themeColor="accent1" w:themeShade="BF"/>
    </w:rPr>
  </w:style>
  <w:style w:type="paragraph" w:styleId="IntenseQuote">
    <w:name w:val="Intense Quote"/>
    <w:basedOn w:val="Normal"/>
    <w:next w:val="Normal"/>
    <w:link w:val="IntenseQuoteChar"/>
    <w:uiPriority w:val="30"/>
    <w:qFormat/>
    <w:rsid w:val="00805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2BA"/>
    <w:rPr>
      <w:i/>
      <w:iCs/>
      <w:color w:val="0F4761" w:themeColor="accent1" w:themeShade="BF"/>
    </w:rPr>
  </w:style>
  <w:style w:type="character" w:styleId="IntenseReference">
    <w:name w:val="Intense Reference"/>
    <w:basedOn w:val="DefaultParagraphFont"/>
    <w:uiPriority w:val="32"/>
    <w:qFormat/>
    <w:rsid w:val="008052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902</Words>
  <Characters>5144</Characters>
  <Application>Microsoft Office Word</Application>
  <DocSecurity>0</DocSecurity>
  <Lines>42</Lines>
  <Paragraphs>12</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2025-09-11T06:02:00Z</dcterms:created>
  <dcterms:modified xsi:type="dcterms:W3CDTF">2025-09-11T06:02:00Z</dcterms:modified>
</cp:coreProperties>
</file>